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F02A" w14:textId="36B47176" w:rsidR="009E576F" w:rsidRPr="009E576F" w:rsidRDefault="009E576F" w:rsidP="009E576F">
      <w:pPr>
        <w:jc w:val="center"/>
        <w:rPr>
          <w:rFonts w:ascii="Times" w:hAnsi="Times" w:cs="Times New Roman"/>
          <w:b/>
          <w:sz w:val="22"/>
          <w:szCs w:val="22"/>
        </w:rPr>
      </w:pPr>
      <w:bookmarkStart w:id="0" w:name="_GoBack"/>
      <w:bookmarkEnd w:id="0"/>
      <w:r w:rsidRPr="009E576F">
        <w:rPr>
          <w:rFonts w:ascii="Times" w:hAnsi="Times" w:cs="Arial"/>
          <w:b/>
          <w:color w:val="000000"/>
          <w:sz w:val="22"/>
          <w:szCs w:val="22"/>
        </w:rPr>
        <w:t xml:space="preserve">APhA </w:t>
      </w:r>
      <w:r w:rsidR="001D2846">
        <w:rPr>
          <w:rFonts w:ascii="Times" w:hAnsi="Times" w:cs="Arial"/>
          <w:b/>
          <w:color w:val="000000"/>
          <w:sz w:val="22"/>
          <w:szCs w:val="22"/>
        </w:rPr>
        <w:t>Final</w:t>
      </w:r>
      <w:r w:rsidRPr="009E576F">
        <w:rPr>
          <w:rFonts w:ascii="Times" w:hAnsi="Times" w:cs="Arial"/>
          <w:b/>
          <w:color w:val="000000"/>
          <w:sz w:val="22"/>
          <w:szCs w:val="22"/>
        </w:rPr>
        <w:t xml:space="preserve"> Report: Immunization Series Completion</w:t>
      </w:r>
    </w:p>
    <w:p w14:paraId="208E5865" w14:textId="77777777" w:rsidR="009E576F" w:rsidRPr="009E576F" w:rsidRDefault="009E576F" w:rsidP="009E576F">
      <w:pPr>
        <w:rPr>
          <w:rFonts w:ascii="Times" w:eastAsia="Times New Roman" w:hAnsi="Times" w:cs="Times New Roman"/>
          <w:sz w:val="22"/>
          <w:szCs w:val="22"/>
        </w:rPr>
      </w:pPr>
    </w:p>
    <w:p w14:paraId="35CCDC06" w14:textId="60CC5C68" w:rsidR="004E7DC4" w:rsidRDefault="009E576F" w:rsidP="009E576F">
      <w:pPr>
        <w:rPr>
          <w:rFonts w:ascii="Times" w:hAnsi="Times" w:cs="Arial"/>
          <w:color w:val="000000"/>
          <w:sz w:val="22"/>
          <w:szCs w:val="22"/>
        </w:rPr>
      </w:pPr>
      <w:r w:rsidRPr="009E576F">
        <w:rPr>
          <w:rFonts w:ascii="Times" w:hAnsi="Times" w:cs="Arial"/>
          <w:b/>
          <w:bCs/>
          <w:color w:val="000000"/>
          <w:sz w:val="22"/>
          <w:szCs w:val="22"/>
        </w:rPr>
        <w:t xml:space="preserve">Timeline progress: </w:t>
      </w:r>
      <w:r w:rsidR="004E7DC4">
        <w:rPr>
          <w:rFonts w:ascii="Times" w:hAnsi="Times" w:cs="Arial"/>
          <w:color w:val="000000"/>
          <w:sz w:val="22"/>
          <w:szCs w:val="22"/>
        </w:rPr>
        <w:t>Rollout of service complete at awardee pharmacy/clinic and will be maintained moving forward; expansion to CPESN-ID complete with tracking of numbers of additional pharmacy rollout ongoing; Planned expansion via highlight within CPESN work group targeted for next year</w:t>
      </w:r>
    </w:p>
    <w:p w14:paraId="35A32955" w14:textId="77777777" w:rsidR="009825AB" w:rsidRDefault="009825AB" w:rsidP="009E576F">
      <w:pPr>
        <w:rPr>
          <w:rFonts w:ascii="Times" w:hAnsi="Times" w:cs="Arial"/>
          <w:color w:val="000000"/>
          <w:sz w:val="22"/>
          <w:szCs w:val="22"/>
        </w:rPr>
      </w:pPr>
    </w:p>
    <w:p w14:paraId="1B01F818" w14:textId="3DC12487" w:rsidR="009825AB" w:rsidRDefault="009825AB" w:rsidP="009E576F">
      <w:pPr>
        <w:rPr>
          <w:rFonts w:ascii="Times" w:hAnsi="Times" w:cs="Arial"/>
          <w:color w:val="000000"/>
          <w:sz w:val="22"/>
          <w:szCs w:val="22"/>
        </w:rPr>
      </w:pPr>
      <w:r>
        <w:rPr>
          <w:rFonts w:ascii="Times" w:hAnsi="Times" w:cs="Arial"/>
          <w:color w:val="000000"/>
          <w:sz w:val="22"/>
          <w:szCs w:val="22"/>
        </w:rPr>
        <w:t xml:space="preserve">Of note, the business case assessment of this project was submitted and accepted for a </w:t>
      </w:r>
      <w:proofErr w:type="spellStart"/>
      <w:r>
        <w:rPr>
          <w:rFonts w:ascii="Times" w:hAnsi="Times" w:cs="Arial"/>
          <w:color w:val="000000"/>
          <w:sz w:val="22"/>
          <w:szCs w:val="22"/>
        </w:rPr>
        <w:t>PharmTANK</w:t>
      </w:r>
      <w:proofErr w:type="spellEnd"/>
      <w:r>
        <w:rPr>
          <w:rFonts w:ascii="Times" w:hAnsi="Times" w:cs="Arial"/>
          <w:color w:val="000000"/>
          <w:sz w:val="22"/>
          <w:szCs w:val="22"/>
        </w:rPr>
        <w:t xml:space="preserve"> presentation at APhA 2020; this service was highlighted in an ASHP </w:t>
      </w:r>
      <w:proofErr w:type="spellStart"/>
      <w:r>
        <w:rPr>
          <w:rFonts w:ascii="Times" w:hAnsi="Times" w:cs="Arial"/>
          <w:color w:val="000000"/>
          <w:sz w:val="22"/>
          <w:szCs w:val="22"/>
        </w:rPr>
        <w:t>MidYear</w:t>
      </w:r>
      <w:proofErr w:type="spellEnd"/>
      <w:r>
        <w:rPr>
          <w:rFonts w:ascii="Times" w:hAnsi="Times" w:cs="Arial"/>
          <w:color w:val="000000"/>
          <w:sz w:val="22"/>
          <w:szCs w:val="22"/>
        </w:rPr>
        <w:t xml:space="preserve"> CE (12/10/19, presented by Jaime </w:t>
      </w:r>
      <w:proofErr w:type="spellStart"/>
      <w:r>
        <w:rPr>
          <w:rFonts w:ascii="Times" w:hAnsi="Times" w:cs="Arial"/>
          <w:color w:val="000000"/>
          <w:sz w:val="22"/>
          <w:szCs w:val="22"/>
        </w:rPr>
        <w:t>Hornecker</w:t>
      </w:r>
      <w:proofErr w:type="spellEnd"/>
      <w:r>
        <w:rPr>
          <w:rFonts w:ascii="Times" w:hAnsi="Times" w:cs="Arial"/>
          <w:color w:val="000000"/>
          <w:sz w:val="22"/>
          <w:szCs w:val="22"/>
        </w:rPr>
        <w:t xml:space="preserve"> and Shanna O’Connor)</w:t>
      </w:r>
    </w:p>
    <w:p w14:paraId="192A54FE" w14:textId="77777777" w:rsidR="004E7DC4" w:rsidRDefault="004E7DC4" w:rsidP="009E576F">
      <w:pPr>
        <w:rPr>
          <w:rFonts w:ascii="Times" w:hAnsi="Times" w:cs="Arial"/>
          <w:bCs/>
          <w:color w:val="000000"/>
          <w:sz w:val="22"/>
          <w:szCs w:val="22"/>
        </w:rPr>
      </w:pPr>
    </w:p>
    <w:p w14:paraId="692A05B1" w14:textId="0F21A7AD" w:rsidR="009E576F" w:rsidRPr="009E576F" w:rsidRDefault="009E576F" w:rsidP="009E576F">
      <w:pPr>
        <w:rPr>
          <w:rFonts w:ascii="Times" w:hAnsi="Times" w:cs="Arial"/>
          <w:b/>
          <w:bCs/>
          <w:color w:val="000000"/>
          <w:sz w:val="22"/>
          <w:szCs w:val="22"/>
        </w:rPr>
      </w:pPr>
      <w:r w:rsidRPr="009E576F">
        <w:rPr>
          <w:rFonts w:ascii="Times" w:hAnsi="Times" w:cs="Arial"/>
          <w:b/>
          <w:bCs/>
          <w:color w:val="000000"/>
          <w:sz w:val="22"/>
          <w:szCs w:val="22"/>
        </w:rPr>
        <w:t>Patient volume:</w:t>
      </w:r>
    </w:p>
    <w:p w14:paraId="0C293603" w14:textId="77777777" w:rsidR="009E576F" w:rsidRPr="009E576F" w:rsidRDefault="009E576F" w:rsidP="009E576F">
      <w:pPr>
        <w:ind w:firstLine="720"/>
        <w:rPr>
          <w:rFonts w:ascii="Times" w:hAnsi="Times" w:cs="Times New Roman"/>
          <w:sz w:val="22"/>
          <w:szCs w:val="22"/>
        </w:rPr>
      </w:pPr>
      <w:r w:rsidRPr="009E576F">
        <w:rPr>
          <w:rFonts w:ascii="Times" w:hAnsi="Times" w:cs="Arial"/>
          <w:b/>
          <w:bCs/>
          <w:color w:val="000000"/>
          <w:sz w:val="22"/>
          <w:szCs w:val="22"/>
        </w:rPr>
        <w:t>Anticipated:</w:t>
      </w:r>
      <w:r w:rsidRPr="009E576F">
        <w:rPr>
          <w:rFonts w:ascii="Times" w:hAnsi="Times" w:cs="Arial"/>
          <w:color w:val="000000"/>
          <w:sz w:val="22"/>
          <w:szCs w:val="22"/>
        </w:rPr>
        <w:t xml:space="preserve"> 30 patients </w:t>
      </w:r>
    </w:p>
    <w:p w14:paraId="22C6A200" w14:textId="2F988F68" w:rsidR="004E7DC4" w:rsidRDefault="009E576F" w:rsidP="004E7DC4">
      <w:pPr>
        <w:pStyle w:val="NormalWeb"/>
        <w:shd w:val="clear" w:color="auto" w:fill="FFFFFF"/>
        <w:spacing w:before="0" w:beforeAutospacing="0" w:after="0" w:afterAutospacing="0"/>
        <w:rPr>
          <w:rFonts w:cs="Arial"/>
          <w:color w:val="000000"/>
          <w:sz w:val="22"/>
          <w:szCs w:val="22"/>
        </w:rPr>
      </w:pPr>
      <w:r w:rsidRPr="009E576F">
        <w:rPr>
          <w:rFonts w:cs="Arial"/>
          <w:b/>
          <w:bCs/>
          <w:color w:val="000000"/>
          <w:sz w:val="22"/>
          <w:szCs w:val="22"/>
        </w:rPr>
        <w:t>Actual:</w:t>
      </w:r>
      <w:r w:rsidRPr="009E576F">
        <w:rPr>
          <w:rFonts w:cs="Arial"/>
          <w:color w:val="000000"/>
          <w:sz w:val="22"/>
          <w:szCs w:val="22"/>
        </w:rPr>
        <w:t xml:space="preserve"> </w:t>
      </w:r>
      <w:r w:rsidR="00884D2F">
        <w:rPr>
          <w:rFonts w:cs="Arial"/>
          <w:color w:val="000000"/>
          <w:sz w:val="22"/>
          <w:szCs w:val="22"/>
        </w:rPr>
        <w:t>Original patient population</w:t>
      </w:r>
      <w:r w:rsidR="004E7DC4">
        <w:rPr>
          <w:rFonts w:cs="Arial"/>
          <w:color w:val="000000"/>
          <w:sz w:val="22"/>
          <w:szCs w:val="22"/>
        </w:rPr>
        <w:t xml:space="preserve"> (</w:t>
      </w:r>
      <w:proofErr w:type="spellStart"/>
      <w:r w:rsidR="004E7DC4">
        <w:rPr>
          <w:rFonts w:cs="Arial"/>
          <w:color w:val="000000"/>
          <w:sz w:val="22"/>
          <w:szCs w:val="22"/>
        </w:rPr>
        <w:t>HepC</w:t>
      </w:r>
      <w:proofErr w:type="spellEnd"/>
      <w:r w:rsidR="004E7DC4">
        <w:rPr>
          <w:rFonts w:cs="Arial"/>
          <w:color w:val="000000"/>
          <w:sz w:val="22"/>
          <w:szCs w:val="22"/>
        </w:rPr>
        <w:t xml:space="preserve"> clinic)</w:t>
      </w:r>
      <w:r w:rsidR="00884D2F">
        <w:rPr>
          <w:rFonts w:cs="Arial"/>
          <w:color w:val="000000"/>
          <w:sz w:val="22"/>
          <w:szCs w:val="22"/>
        </w:rPr>
        <w:t>:</w:t>
      </w:r>
      <w:r w:rsidR="004E7DC4">
        <w:rPr>
          <w:rFonts w:cs="Arial"/>
          <w:color w:val="000000"/>
          <w:sz w:val="22"/>
          <w:szCs w:val="22"/>
        </w:rPr>
        <w:t xml:space="preserve"> 11 patients referred (total); 1 completed series (clinic informed via fax); 2 in progress (completion December 2019 and Mar 2020) but successful thus far in series; 5 additional in progress with next shots due in February (1), April (1), and May (3) 2020; 1 unable to be contacted (clinic notified); 1 in process of being contacted; 1 lost insurance and now being followed through patient assistance at clinic.</w:t>
      </w:r>
    </w:p>
    <w:p w14:paraId="388FAEBA" w14:textId="01A82AAA" w:rsidR="003830DD" w:rsidRPr="009825AB" w:rsidRDefault="004E7DC4" w:rsidP="003830DD">
      <w:pPr>
        <w:pStyle w:val="NormalWeb"/>
        <w:shd w:val="clear" w:color="auto" w:fill="FFFFFF"/>
        <w:spacing w:before="0" w:beforeAutospacing="0" w:after="0" w:afterAutospacing="0"/>
        <w:rPr>
          <w:rFonts w:cs="Arial"/>
          <w:color w:val="000000"/>
          <w:sz w:val="22"/>
          <w:szCs w:val="22"/>
        </w:rPr>
      </w:pPr>
      <w:r>
        <w:rPr>
          <w:rFonts w:cs="Arial"/>
          <w:color w:val="000000"/>
          <w:sz w:val="22"/>
          <w:szCs w:val="22"/>
        </w:rPr>
        <w:t>Expanded patient population (HIV clinic): 15 patients referred</w:t>
      </w:r>
      <w:r w:rsidR="003830DD">
        <w:rPr>
          <w:rFonts w:cs="Arial"/>
          <w:color w:val="000000"/>
          <w:sz w:val="22"/>
          <w:szCs w:val="22"/>
        </w:rPr>
        <w:t>, process for determining where patient in series aligned between clinic and pharmacy; pharmacy collaborating with clinic for coverage of vaccine and alignment with patient visits/medication pickup.</w:t>
      </w:r>
    </w:p>
    <w:p w14:paraId="73D587FA" w14:textId="57FBDF05" w:rsidR="003830DD" w:rsidRDefault="003830DD" w:rsidP="003830DD">
      <w:pPr>
        <w:pStyle w:val="NormalWeb"/>
        <w:shd w:val="clear" w:color="auto" w:fill="FFFFFF"/>
        <w:rPr>
          <w:sz w:val="22"/>
          <w:szCs w:val="22"/>
        </w:rPr>
      </w:pPr>
      <w:r>
        <w:rPr>
          <w:b/>
          <w:bCs/>
          <w:sz w:val="22"/>
          <w:szCs w:val="22"/>
        </w:rPr>
        <w:t>Findings</w:t>
      </w:r>
      <w:r w:rsidR="00884D2F">
        <w:rPr>
          <w:b/>
          <w:bCs/>
          <w:sz w:val="22"/>
          <w:szCs w:val="22"/>
        </w:rPr>
        <w:t xml:space="preserve">: </w:t>
      </w:r>
      <w:r w:rsidR="00884D2F">
        <w:rPr>
          <w:sz w:val="22"/>
          <w:szCs w:val="22"/>
        </w:rPr>
        <w:t>Unexpected changes to clinic staff in the hepatitis C clinic resulted in significantly lower referrals than anticipated, but workflow within pharmacy seems to work reasonably well per pharmacy staff report.  An approximate 33% initial uptake of initial vaccine is also significantly lower than anticipated, but is likely reflective of patient population (underinsured</w:t>
      </w:r>
      <w:r>
        <w:rPr>
          <w:sz w:val="22"/>
          <w:szCs w:val="22"/>
        </w:rPr>
        <w:t>, rural, frequently in transient housing situations</w:t>
      </w:r>
      <w:r w:rsidR="00884D2F">
        <w:rPr>
          <w:sz w:val="22"/>
          <w:szCs w:val="22"/>
        </w:rPr>
        <w:t xml:space="preserve">).  Attempted expansion to new patient population (persons living with HIV) was </w:t>
      </w:r>
      <w:r>
        <w:rPr>
          <w:sz w:val="22"/>
          <w:szCs w:val="22"/>
        </w:rPr>
        <w:t xml:space="preserve">initially </w:t>
      </w:r>
      <w:r w:rsidR="00884D2F">
        <w:rPr>
          <w:sz w:val="22"/>
          <w:szCs w:val="22"/>
        </w:rPr>
        <w:t>unsuccessful</w:t>
      </w:r>
      <w:r>
        <w:rPr>
          <w:sz w:val="22"/>
          <w:szCs w:val="22"/>
        </w:rPr>
        <w:t xml:space="preserve"> but modifications to workflows have created a more patient-centric service that prioritizes patients receiving immunization where they’re comfortable and collaboration with clinic</w:t>
      </w:r>
      <w:r w:rsidR="00884D2F">
        <w:rPr>
          <w:sz w:val="22"/>
          <w:szCs w:val="22"/>
        </w:rPr>
        <w:t xml:space="preserve">.  </w:t>
      </w:r>
      <w:r>
        <w:rPr>
          <w:sz w:val="22"/>
          <w:szCs w:val="22"/>
        </w:rPr>
        <w:t>Significant geographical spread in expanded patient population (15 minutes to 1.5 hours from clinic, with majority living more than 15 minutes away) may be driving numbers down, but general success suggests this service is one that may work elsewhere.</w:t>
      </w:r>
    </w:p>
    <w:p w14:paraId="00A660D7" w14:textId="77777777" w:rsidR="003830DD" w:rsidRDefault="003830DD" w:rsidP="003830DD">
      <w:pPr>
        <w:pStyle w:val="NormalWeb"/>
        <w:shd w:val="clear" w:color="auto" w:fill="FFFFFF"/>
        <w:rPr>
          <w:sz w:val="22"/>
          <w:szCs w:val="22"/>
        </w:rPr>
      </w:pPr>
      <w:r>
        <w:rPr>
          <w:sz w:val="22"/>
          <w:szCs w:val="22"/>
        </w:rPr>
        <w:t>Workflow within the pharmacy is established and straightforward to maintain.  Patients are tracked on a spreadsheet, which is checked by assigned staff member weekly.  Staff then contact clinic nurse to align immunization administration with other patient care from clinic (typically ordered via pharmacy and administered at clinic for patient ease of access).</w:t>
      </w:r>
    </w:p>
    <w:p w14:paraId="29309909" w14:textId="2D92522F" w:rsidR="009E576F" w:rsidRPr="009E576F" w:rsidRDefault="009E576F" w:rsidP="009E576F">
      <w:pPr>
        <w:rPr>
          <w:rFonts w:ascii="Times" w:hAnsi="Times" w:cs="Times New Roman"/>
          <w:sz w:val="22"/>
          <w:szCs w:val="22"/>
        </w:rPr>
      </w:pPr>
      <w:r w:rsidRPr="009E576F">
        <w:rPr>
          <w:rFonts w:ascii="Times" w:hAnsi="Times" w:cs="Arial"/>
          <w:b/>
          <w:bCs/>
          <w:color w:val="000000"/>
          <w:sz w:val="22"/>
          <w:szCs w:val="22"/>
        </w:rPr>
        <w:t>QI:</w:t>
      </w:r>
      <w:r w:rsidRPr="009E576F">
        <w:rPr>
          <w:rFonts w:ascii="Times" w:hAnsi="Times" w:cs="Arial"/>
          <w:color w:val="000000"/>
          <w:sz w:val="22"/>
          <w:szCs w:val="22"/>
        </w:rPr>
        <w:t xml:space="preserve"> </w:t>
      </w:r>
      <w:r w:rsidR="009825AB">
        <w:rPr>
          <w:rFonts w:ascii="Times" w:hAnsi="Times" w:cs="Arial"/>
          <w:color w:val="000000"/>
          <w:sz w:val="22"/>
          <w:szCs w:val="22"/>
        </w:rPr>
        <w:t>Vaccine completion documentation sent to clinic (Nov 2019) and presence confirmed in EHR (</w:t>
      </w:r>
      <w:r w:rsidR="007218F2">
        <w:rPr>
          <w:rFonts w:ascii="Times" w:hAnsi="Times" w:cs="Arial"/>
          <w:color w:val="000000"/>
          <w:sz w:val="22"/>
          <w:szCs w:val="22"/>
        </w:rPr>
        <w:t>Nov</w:t>
      </w:r>
      <w:r w:rsidR="009825AB">
        <w:rPr>
          <w:rFonts w:ascii="Times" w:hAnsi="Times" w:cs="Arial"/>
          <w:color w:val="000000"/>
          <w:sz w:val="22"/>
          <w:szCs w:val="22"/>
        </w:rPr>
        <w:t xml:space="preserve"> 2019); </w:t>
      </w:r>
      <w:r w:rsidR="007218F2">
        <w:rPr>
          <w:rFonts w:ascii="Times" w:hAnsi="Times" w:cs="Arial"/>
          <w:color w:val="000000"/>
          <w:sz w:val="22"/>
          <w:szCs w:val="22"/>
        </w:rPr>
        <w:t xml:space="preserve">Patient no-show/inability to contact sent to clinic (Oct 2019) and presence of update confirmed in HER (Nov 2019); </w:t>
      </w:r>
      <w:r w:rsidR="009825AB">
        <w:rPr>
          <w:rFonts w:ascii="Times" w:hAnsi="Times" w:cs="Arial"/>
          <w:color w:val="000000"/>
          <w:sz w:val="22"/>
          <w:szCs w:val="22"/>
        </w:rPr>
        <w:t>ongoing QI integrated into service plans for quarterly review</w:t>
      </w:r>
    </w:p>
    <w:p w14:paraId="486BAE7C" w14:textId="77777777" w:rsidR="009E576F" w:rsidRPr="009E576F" w:rsidRDefault="009E576F" w:rsidP="009E576F">
      <w:pPr>
        <w:rPr>
          <w:rFonts w:ascii="Times" w:eastAsia="Times New Roman" w:hAnsi="Times" w:cs="Times New Roman"/>
          <w:sz w:val="22"/>
          <w:szCs w:val="22"/>
        </w:rPr>
      </w:pPr>
    </w:p>
    <w:p w14:paraId="66119812" w14:textId="686B316B" w:rsidR="009E576F" w:rsidRPr="009E576F" w:rsidRDefault="009E576F" w:rsidP="009E576F">
      <w:pPr>
        <w:rPr>
          <w:rFonts w:ascii="Times" w:hAnsi="Times" w:cs="Times New Roman"/>
          <w:sz w:val="22"/>
          <w:szCs w:val="22"/>
        </w:rPr>
      </w:pPr>
      <w:r w:rsidRPr="009E576F">
        <w:rPr>
          <w:rFonts w:ascii="Times" w:hAnsi="Times" w:cs="Arial"/>
          <w:b/>
          <w:bCs/>
          <w:color w:val="000000"/>
          <w:sz w:val="22"/>
          <w:szCs w:val="22"/>
        </w:rPr>
        <w:t>Changes to planned research</w:t>
      </w:r>
      <w:r w:rsidR="00884D2F">
        <w:rPr>
          <w:rFonts w:ascii="Times" w:hAnsi="Times" w:cs="Arial"/>
          <w:b/>
          <w:bCs/>
          <w:color w:val="000000"/>
          <w:sz w:val="22"/>
          <w:szCs w:val="22"/>
        </w:rPr>
        <w:t xml:space="preserve"> (6/2019)</w:t>
      </w:r>
      <w:r w:rsidRPr="009E576F">
        <w:rPr>
          <w:rFonts w:ascii="Times" w:hAnsi="Times" w:cs="Arial"/>
          <w:b/>
          <w:bCs/>
          <w:color w:val="000000"/>
          <w:sz w:val="22"/>
          <w:szCs w:val="22"/>
        </w:rPr>
        <w:t>:</w:t>
      </w:r>
    </w:p>
    <w:p w14:paraId="4C03E040" w14:textId="77777777" w:rsidR="009E576F" w:rsidRPr="009E576F" w:rsidRDefault="009E576F" w:rsidP="009E576F">
      <w:pPr>
        <w:rPr>
          <w:rFonts w:ascii="Times" w:hAnsi="Times" w:cs="Times New Roman"/>
          <w:sz w:val="22"/>
          <w:szCs w:val="22"/>
        </w:rPr>
      </w:pPr>
      <w:r w:rsidRPr="009E576F">
        <w:rPr>
          <w:rFonts w:ascii="Times" w:hAnsi="Times" w:cs="Arial"/>
          <w:color w:val="000000"/>
          <w:sz w:val="22"/>
          <w:szCs w:val="22"/>
        </w:rPr>
        <w:t xml:space="preserve">Turnover of </w:t>
      </w:r>
      <w:proofErr w:type="spellStart"/>
      <w:r w:rsidRPr="009E576F">
        <w:rPr>
          <w:rFonts w:ascii="Times" w:hAnsi="Times" w:cs="Arial"/>
          <w:color w:val="000000"/>
          <w:sz w:val="22"/>
          <w:szCs w:val="22"/>
        </w:rPr>
        <w:t>HepC</w:t>
      </w:r>
      <w:proofErr w:type="spellEnd"/>
      <w:r w:rsidRPr="009E576F">
        <w:rPr>
          <w:rFonts w:ascii="Times" w:hAnsi="Times" w:cs="Arial"/>
          <w:color w:val="000000"/>
          <w:sz w:val="22"/>
          <w:szCs w:val="22"/>
        </w:rPr>
        <w:t xml:space="preserve"> providers resulted in decreased patient population so 2 things planned:</w:t>
      </w:r>
    </w:p>
    <w:p w14:paraId="4BBEDECD" w14:textId="3C1C95B8" w:rsidR="009E576F" w:rsidRPr="009E576F" w:rsidRDefault="009E576F" w:rsidP="009E576F">
      <w:pPr>
        <w:numPr>
          <w:ilvl w:val="0"/>
          <w:numId w:val="1"/>
        </w:numPr>
        <w:textAlignment w:val="baseline"/>
        <w:rPr>
          <w:rFonts w:ascii="Times" w:hAnsi="Times" w:cs="Arial"/>
          <w:color w:val="000000"/>
          <w:sz w:val="22"/>
          <w:szCs w:val="22"/>
        </w:rPr>
      </w:pPr>
      <w:r w:rsidRPr="009E576F">
        <w:rPr>
          <w:rFonts w:ascii="Times" w:hAnsi="Times" w:cs="Arial"/>
          <w:color w:val="000000"/>
          <w:sz w:val="22"/>
          <w:szCs w:val="22"/>
        </w:rPr>
        <w:t xml:space="preserve">Expand the patient population to anyone with a prescription for a vaccination that is part of a series (Gardasil, </w:t>
      </w:r>
      <w:proofErr w:type="spellStart"/>
      <w:r w:rsidRPr="009E576F">
        <w:rPr>
          <w:rFonts w:ascii="Times" w:hAnsi="Times" w:cs="Arial"/>
          <w:color w:val="000000"/>
          <w:sz w:val="22"/>
          <w:szCs w:val="22"/>
        </w:rPr>
        <w:t>Shingrix</w:t>
      </w:r>
      <w:proofErr w:type="spellEnd"/>
      <w:r w:rsidRPr="009E576F">
        <w:rPr>
          <w:rFonts w:ascii="Times" w:hAnsi="Times" w:cs="Arial"/>
          <w:color w:val="000000"/>
          <w:sz w:val="22"/>
          <w:szCs w:val="22"/>
        </w:rPr>
        <w:t>, Hepatitis</w:t>
      </w:r>
      <w:r w:rsidR="00884D2F">
        <w:rPr>
          <w:rFonts w:ascii="Times" w:hAnsi="Times" w:cs="Arial"/>
          <w:color w:val="000000"/>
          <w:sz w:val="22"/>
          <w:szCs w:val="22"/>
        </w:rPr>
        <w:t xml:space="preserve">, </w:t>
      </w:r>
      <w:proofErr w:type="spellStart"/>
      <w:r w:rsidR="00884D2F">
        <w:rPr>
          <w:rFonts w:ascii="Times" w:hAnsi="Times" w:cs="Arial"/>
          <w:color w:val="000000"/>
          <w:sz w:val="22"/>
          <w:szCs w:val="22"/>
        </w:rPr>
        <w:t>Engerix</w:t>
      </w:r>
      <w:proofErr w:type="spellEnd"/>
      <w:r w:rsidRPr="009E576F">
        <w:rPr>
          <w:rFonts w:ascii="Times" w:hAnsi="Times" w:cs="Arial"/>
          <w:color w:val="000000"/>
          <w:sz w:val="22"/>
          <w:szCs w:val="22"/>
        </w:rPr>
        <w:t>)</w:t>
      </w:r>
    </w:p>
    <w:p w14:paraId="7476395C" w14:textId="19E3BFFF" w:rsidR="009E576F" w:rsidRPr="009E576F" w:rsidRDefault="009E576F" w:rsidP="009E576F">
      <w:pPr>
        <w:numPr>
          <w:ilvl w:val="1"/>
          <w:numId w:val="2"/>
        </w:numPr>
        <w:ind w:left="1440" w:hanging="360"/>
        <w:textAlignment w:val="baseline"/>
        <w:rPr>
          <w:rFonts w:ascii="Times" w:hAnsi="Times" w:cs="Arial"/>
          <w:color w:val="000000"/>
          <w:sz w:val="22"/>
          <w:szCs w:val="22"/>
        </w:rPr>
      </w:pPr>
      <w:r w:rsidRPr="009E576F">
        <w:rPr>
          <w:rFonts w:ascii="Times" w:hAnsi="Times" w:cs="Arial"/>
          <w:color w:val="000000"/>
          <w:sz w:val="22"/>
          <w:szCs w:val="22"/>
        </w:rPr>
        <w:t>Timeline: Early July 2019</w:t>
      </w:r>
      <w:r w:rsidR="00884D2F">
        <w:rPr>
          <w:rFonts w:ascii="Times" w:hAnsi="Times" w:cs="Arial"/>
          <w:color w:val="000000"/>
          <w:sz w:val="22"/>
          <w:szCs w:val="22"/>
        </w:rPr>
        <w:t xml:space="preserve">: </w:t>
      </w:r>
      <w:r w:rsidR="00884D2F">
        <w:rPr>
          <w:rFonts w:ascii="Times" w:hAnsi="Times" w:cs="Arial"/>
          <w:b/>
          <w:bCs/>
          <w:color w:val="000000"/>
          <w:sz w:val="22"/>
          <w:szCs w:val="22"/>
        </w:rPr>
        <w:t>Completed training for all pharmacy staff last week of June 2019</w:t>
      </w:r>
    </w:p>
    <w:p w14:paraId="768364EC" w14:textId="0DD579AD" w:rsidR="009E576F" w:rsidRPr="009E576F" w:rsidRDefault="009E576F" w:rsidP="009E576F">
      <w:pPr>
        <w:numPr>
          <w:ilvl w:val="0"/>
          <w:numId w:val="2"/>
        </w:numPr>
        <w:textAlignment w:val="baseline"/>
        <w:rPr>
          <w:rFonts w:ascii="Times" w:hAnsi="Times" w:cs="Arial"/>
          <w:color w:val="000000"/>
          <w:sz w:val="22"/>
          <w:szCs w:val="22"/>
        </w:rPr>
      </w:pPr>
      <w:r w:rsidRPr="009E576F">
        <w:rPr>
          <w:rFonts w:ascii="Times" w:hAnsi="Times" w:cs="Arial"/>
          <w:color w:val="000000"/>
          <w:sz w:val="22"/>
          <w:szCs w:val="22"/>
        </w:rPr>
        <w:t xml:space="preserve">Share resources with </w:t>
      </w:r>
      <w:r w:rsidR="00884D2F">
        <w:rPr>
          <w:rFonts w:ascii="Times" w:hAnsi="Times" w:cs="Arial"/>
          <w:color w:val="000000"/>
          <w:sz w:val="22"/>
          <w:szCs w:val="22"/>
        </w:rPr>
        <w:t>16</w:t>
      </w:r>
      <w:r w:rsidRPr="009E576F">
        <w:rPr>
          <w:rFonts w:ascii="Times" w:hAnsi="Times" w:cs="Arial"/>
          <w:color w:val="000000"/>
          <w:sz w:val="22"/>
          <w:szCs w:val="22"/>
        </w:rPr>
        <w:t xml:space="preserve"> additional pharmacies to expand service delivery </w:t>
      </w:r>
    </w:p>
    <w:p w14:paraId="29C39E28" w14:textId="77777777" w:rsidR="009E576F" w:rsidRPr="009E576F" w:rsidRDefault="009E576F" w:rsidP="009E576F">
      <w:pPr>
        <w:numPr>
          <w:ilvl w:val="1"/>
          <w:numId w:val="3"/>
        </w:numPr>
        <w:textAlignment w:val="baseline"/>
        <w:rPr>
          <w:rFonts w:ascii="Times" w:hAnsi="Times" w:cs="Arial"/>
          <w:color w:val="000000"/>
          <w:sz w:val="22"/>
          <w:szCs w:val="22"/>
          <w:u w:val="single"/>
        </w:rPr>
      </w:pPr>
      <w:r w:rsidRPr="009E576F">
        <w:rPr>
          <w:rFonts w:ascii="Times" w:hAnsi="Times" w:cs="Arial"/>
          <w:color w:val="000000"/>
          <w:sz w:val="22"/>
          <w:szCs w:val="22"/>
          <w:u w:val="single"/>
        </w:rPr>
        <w:t>Timeline:</w:t>
      </w:r>
    </w:p>
    <w:p w14:paraId="50973813" w14:textId="101A7B8A" w:rsidR="009E576F" w:rsidRPr="009E576F" w:rsidRDefault="009E576F" w:rsidP="009E576F">
      <w:pPr>
        <w:numPr>
          <w:ilvl w:val="2"/>
          <w:numId w:val="4"/>
        </w:numPr>
        <w:ind w:left="1260"/>
        <w:textAlignment w:val="baseline"/>
        <w:rPr>
          <w:rFonts w:ascii="Times" w:hAnsi="Times" w:cs="Arial"/>
          <w:color w:val="000000"/>
          <w:sz w:val="22"/>
          <w:szCs w:val="22"/>
        </w:rPr>
      </w:pPr>
      <w:r w:rsidRPr="009E576F">
        <w:rPr>
          <w:rFonts w:ascii="Times" w:hAnsi="Times" w:cs="Arial"/>
          <w:color w:val="000000"/>
          <w:sz w:val="22"/>
          <w:szCs w:val="22"/>
        </w:rPr>
        <w:t xml:space="preserve">Resource creation: </w:t>
      </w:r>
      <w:r w:rsidR="001D2846">
        <w:rPr>
          <w:rFonts w:ascii="Times" w:hAnsi="Times" w:cs="Arial"/>
          <w:color w:val="000000"/>
          <w:sz w:val="22"/>
          <w:szCs w:val="22"/>
        </w:rPr>
        <w:t>Sep</w:t>
      </w:r>
      <w:r w:rsidRPr="009E576F">
        <w:rPr>
          <w:rFonts w:ascii="Times" w:hAnsi="Times" w:cs="Arial"/>
          <w:color w:val="000000"/>
          <w:sz w:val="22"/>
          <w:szCs w:val="22"/>
        </w:rPr>
        <w:t xml:space="preserve"> 2019 (</w:t>
      </w:r>
      <w:proofErr w:type="spellStart"/>
      <w:r w:rsidRPr="009E576F">
        <w:rPr>
          <w:rFonts w:ascii="Times" w:hAnsi="Times" w:cs="Arial"/>
          <w:color w:val="000000"/>
          <w:sz w:val="22"/>
          <w:szCs w:val="22"/>
        </w:rPr>
        <w:t>Caitie</w:t>
      </w:r>
      <w:proofErr w:type="spellEnd"/>
      <w:r w:rsidRPr="009E576F">
        <w:rPr>
          <w:rFonts w:ascii="Times" w:hAnsi="Times" w:cs="Arial"/>
          <w:color w:val="000000"/>
          <w:sz w:val="22"/>
          <w:szCs w:val="22"/>
        </w:rPr>
        <w:t xml:space="preserve"> Brown)</w:t>
      </w:r>
      <w:r w:rsidR="00884D2F">
        <w:rPr>
          <w:rFonts w:ascii="Times" w:hAnsi="Times" w:cs="Arial"/>
          <w:color w:val="000000"/>
          <w:sz w:val="22"/>
          <w:szCs w:val="22"/>
        </w:rPr>
        <w:t xml:space="preserve"> </w:t>
      </w:r>
      <w:r w:rsidR="003830DD">
        <w:rPr>
          <w:rFonts w:ascii="Times" w:hAnsi="Times" w:cs="Arial"/>
          <w:b/>
          <w:bCs/>
          <w:color w:val="000000"/>
          <w:sz w:val="22"/>
          <w:szCs w:val="22"/>
        </w:rPr>
        <w:t>Completed Oct 2019</w:t>
      </w:r>
    </w:p>
    <w:p w14:paraId="544F1F0C" w14:textId="26116CB3" w:rsidR="009E576F" w:rsidRPr="009E576F" w:rsidRDefault="009E576F" w:rsidP="009E576F">
      <w:pPr>
        <w:numPr>
          <w:ilvl w:val="2"/>
          <w:numId w:val="4"/>
        </w:numPr>
        <w:ind w:left="1260"/>
        <w:textAlignment w:val="baseline"/>
        <w:rPr>
          <w:rFonts w:ascii="Times" w:hAnsi="Times" w:cs="Arial"/>
          <w:color w:val="000000"/>
          <w:sz w:val="22"/>
          <w:szCs w:val="22"/>
        </w:rPr>
      </w:pPr>
      <w:r w:rsidRPr="009E576F">
        <w:rPr>
          <w:rFonts w:ascii="Times" w:hAnsi="Times" w:cs="Arial"/>
          <w:color w:val="000000"/>
          <w:sz w:val="22"/>
          <w:szCs w:val="22"/>
        </w:rPr>
        <w:t xml:space="preserve">Resource </w:t>
      </w:r>
      <w:r w:rsidR="00884D2F">
        <w:rPr>
          <w:rFonts w:ascii="Times" w:hAnsi="Times" w:cs="Arial"/>
          <w:color w:val="000000"/>
          <w:sz w:val="22"/>
          <w:szCs w:val="22"/>
        </w:rPr>
        <w:t>email to all CPESN pharmacies</w:t>
      </w:r>
      <w:r w:rsidRPr="009E576F">
        <w:rPr>
          <w:rFonts w:ascii="Times" w:hAnsi="Times" w:cs="Arial"/>
          <w:color w:val="000000"/>
          <w:sz w:val="22"/>
          <w:szCs w:val="22"/>
        </w:rPr>
        <w:t xml:space="preserve">: </w:t>
      </w:r>
      <w:r w:rsidR="001D2846">
        <w:rPr>
          <w:rFonts w:ascii="Times" w:hAnsi="Times" w:cs="Arial"/>
          <w:color w:val="000000"/>
          <w:sz w:val="22"/>
          <w:szCs w:val="22"/>
        </w:rPr>
        <w:t>Oct</w:t>
      </w:r>
      <w:r w:rsidRPr="009E576F">
        <w:rPr>
          <w:rFonts w:ascii="Times" w:hAnsi="Times" w:cs="Arial"/>
          <w:color w:val="000000"/>
          <w:sz w:val="22"/>
          <w:szCs w:val="22"/>
        </w:rPr>
        <w:t xml:space="preserve"> 2019 (</w:t>
      </w:r>
      <w:proofErr w:type="spellStart"/>
      <w:r w:rsidRPr="009E576F">
        <w:rPr>
          <w:rFonts w:ascii="Times" w:hAnsi="Times" w:cs="Arial"/>
          <w:color w:val="000000"/>
          <w:sz w:val="22"/>
          <w:szCs w:val="22"/>
        </w:rPr>
        <w:t>Caitie</w:t>
      </w:r>
      <w:proofErr w:type="spellEnd"/>
      <w:r w:rsidRPr="009E576F">
        <w:rPr>
          <w:rFonts w:ascii="Times" w:hAnsi="Times" w:cs="Arial"/>
          <w:color w:val="000000"/>
          <w:sz w:val="22"/>
          <w:szCs w:val="22"/>
        </w:rPr>
        <w:t xml:space="preserve"> Brown)</w:t>
      </w:r>
      <w:r w:rsidR="00884D2F">
        <w:rPr>
          <w:rFonts w:ascii="Times" w:hAnsi="Times" w:cs="Arial"/>
          <w:color w:val="000000"/>
          <w:sz w:val="22"/>
          <w:szCs w:val="22"/>
        </w:rPr>
        <w:t xml:space="preserve"> </w:t>
      </w:r>
      <w:r w:rsidR="003830DD">
        <w:rPr>
          <w:rFonts w:ascii="Times" w:hAnsi="Times" w:cs="Arial"/>
          <w:b/>
          <w:bCs/>
          <w:color w:val="000000"/>
          <w:sz w:val="22"/>
          <w:szCs w:val="22"/>
        </w:rPr>
        <w:t>Completed Oct 2019</w:t>
      </w:r>
    </w:p>
    <w:p w14:paraId="7A66E9A5" w14:textId="058A1511" w:rsidR="009E576F" w:rsidRPr="009E576F" w:rsidRDefault="009E576F" w:rsidP="009E576F">
      <w:pPr>
        <w:numPr>
          <w:ilvl w:val="2"/>
          <w:numId w:val="4"/>
        </w:numPr>
        <w:ind w:left="1260"/>
        <w:textAlignment w:val="baseline"/>
        <w:rPr>
          <w:rFonts w:ascii="Times" w:hAnsi="Times" w:cs="Arial"/>
          <w:color w:val="000000"/>
          <w:sz w:val="22"/>
          <w:szCs w:val="22"/>
        </w:rPr>
      </w:pPr>
      <w:r w:rsidRPr="009E576F">
        <w:rPr>
          <w:rFonts w:ascii="Times" w:hAnsi="Times" w:cs="Arial"/>
          <w:color w:val="000000"/>
          <w:sz w:val="22"/>
          <w:szCs w:val="22"/>
        </w:rPr>
        <w:lastRenderedPageBreak/>
        <w:t xml:space="preserve">Data requests and collection: </w:t>
      </w:r>
      <w:r w:rsidR="001D2846">
        <w:rPr>
          <w:rFonts w:ascii="Times" w:hAnsi="Times" w:cs="Arial"/>
          <w:color w:val="000000"/>
          <w:sz w:val="22"/>
          <w:szCs w:val="22"/>
        </w:rPr>
        <w:t>Nov</w:t>
      </w:r>
      <w:r w:rsidRPr="009E576F">
        <w:rPr>
          <w:rFonts w:ascii="Times" w:hAnsi="Times" w:cs="Arial"/>
          <w:color w:val="000000"/>
          <w:sz w:val="22"/>
          <w:szCs w:val="22"/>
        </w:rPr>
        <w:t>-Dec 2019</w:t>
      </w:r>
      <w:r w:rsidR="00884D2F">
        <w:rPr>
          <w:rFonts w:ascii="Times" w:hAnsi="Times" w:cs="Arial"/>
          <w:color w:val="000000"/>
          <w:sz w:val="22"/>
          <w:szCs w:val="22"/>
        </w:rPr>
        <w:t xml:space="preserve"> </w:t>
      </w:r>
      <w:r w:rsidR="003830DD">
        <w:rPr>
          <w:rFonts w:ascii="Times" w:hAnsi="Times" w:cs="Arial"/>
          <w:b/>
          <w:bCs/>
          <w:color w:val="000000"/>
          <w:sz w:val="22"/>
          <w:szCs w:val="22"/>
        </w:rPr>
        <w:t>Data collection ongoing (initial outreach suggested pharmacies need more time to explore potential clinic partnerships for extensive referral)</w:t>
      </w:r>
      <w:r w:rsidRPr="009E576F">
        <w:rPr>
          <w:rFonts w:ascii="Times" w:eastAsia="Times New Roman" w:hAnsi="Times" w:cs="Times New Roman"/>
          <w:sz w:val="22"/>
          <w:szCs w:val="22"/>
        </w:rPr>
        <w:br/>
      </w:r>
    </w:p>
    <w:tbl>
      <w:tblPr>
        <w:tblW w:w="9970" w:type="dxa"/>
        <w:tblInd w:w="10" w:type="dxa"/>
        <w:tblCellMar>
          <w:top w:w="15" w:type="dxa"/>
          <w:left w:w="15" w:type="dxa"/>
          <w:bottom w:w="15" w:type="dxa"/>
          <w:right w:w="15" w:type="dxa"/>
        </w:tblCellMar>
        <w:tblLook w:val="04A0" w:firstRow="1" w:lastRow="0" w:firstColumn="1" w:lastColumn="0" w:noHBand="0" w:noVBand="1"/>
      </w:tblPr>
      <w:tblGrid>
        <w:gridCol w:w="3600"/>
        <w:gridCol w:w="2860"/>
        <w:gridCol w:w="3510"/>
      </w:tblGrid>
      <w:tr w:rsidR="009E576F" w:rsidRPr="009E576F" w14:paraId="25D142B3" w14:textId="77777777" w:rsidTr="009825AB">
        <w:trPr>
          <w:trHeight w:val="339"/>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E5A6C"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u w:val="single"/>
              </w:rPr>
              <w:t>Study Item</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FC842" w14:textId="77777777" w:rsidR="009E576F" w:rsidRPr="009E576F" w:rsidRDefault="009E576F" w:rsidP="009E576F">
            <w:pPr>
              <w:ind w:left="-1044" w:firstLine="904"/>
              <w:jc w:val="center"/>
              <w:rPr>
                <w:rFonts w:ascii="Times" w:hAnsi="Times" w:cs="Times New Roman"/>
                <w:sz w:val="22"/>
                <w:szCs w:val="22"/>
              </w:rPr>
            </w:pPr>
            <w:r w:rsidRPr="009E576F">
              <w:rPr>
                <w:rFonts w:ascii="Times" w:hAnsi="Times" w:cs="Times New Roman"/>
                <w:color w:val="000000"/>
                <w:sz w:val="22"/>
                <w:szCs w:val="22"/>
                <w:u w:val="single"/>
              </w:rPr>
              <w:t>Time</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282D0"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u w:val="single"/>
              </w:rPr>
              <w:t>Completed?</w:t>
            </w:r>
          </w:p>
        </w:tc>
      </w:tr>
      <w:tr w:rsidR="009E576F" w:rsidRPr="009E576F" w14:paraId="1CB08707" w14:textId="77777777" w:rsidTr="009825AB">
        <w:trPr>
          <w:trHeight w:val="852"/>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89E66"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Development of pharmacy protocol, pharmacy documentation, clinic protocol, and referral/consent form</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192EF"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0-2 weeks (Oct 1-12 2018)</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EB989"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Yes</w:t>
            </w:r>
          </w:p>
        </w:tc>
      </w:tr>
      <w:tr w:rsidR="009E576F" w:rsidRPr="009E576F" w14:paraId="77E90B4E" w14:textId="77777777" w:rsidTr="009825AB">
        <w:trPr>
          <w:trHeight w:val="87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8CB3E" w14:textId="77777777" w:rsidR="009E576F" w:rsidRPr="009E576F" w:rsidRDefault="009E576F" w:rsidP="009E576F">
            <w:pPr>
              <w:ind w:left="890" w:hanging="1030"/>
              <w:jc w:val="center"/>
              <w:rPr>
                <w:rFonts w:ascii="Times" w:hAnsi="Times" w:cs="Times New Roman"/>
                <w:sz w:val="22"/>
                <w:szCs w:val="22"/>
              </w:rPr>
            </w:pPr>
            <w:r w:rsidRPr="009E576F">
              <w:rPr>
                <w:rFonts w:ascii="Times" w:hAnsi="Times" w:cs="Times New Roman"/>
                <w:color w:val="000000"/>
                <w:sz w:val="22"/>
                <w:szCs w:val="22"/>
              </w:rPr>
              <w:t>Referral forms from clinic to pharmacy and pharmacy outreach to patients (ongoing)</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EBD02" w14:textId="4E13DE02" w:rsidR="009E576F" w:rsidRDefault="009E576F" w:rsidP="009E576F">
            <w:pPr>
              <w:ind w:left="-140"/>
              <w:jc w:val="center"/>
              <w:rPr>
                <w:rFonts w:ascii="Times" w:hAnsi="Times" w:cs="Times New Roman"/>
                <w:color w:val="000000"/>
                <w:sz w:val="22"/>
                <w:szCs w:val="22"/>
              </w:rPr>
            </w:pPr>
            <w:r w:rsidRPr="009E576F">
              <w:rPr>
                <w:rFonts w:ascii="Times" w:hAnsi="Times" w:cs="Times New Roman"/>
                <w:color w:val="000000"/>
                <w:sz w:val="22"/>
                <w:szCs w:val="22"/>
              </w:rPr>
              <w:t>2 weeks-22 weeks (Oct 15 2018-</w:t>
            </w:r>
            <w:r w:rsidR="00884D2F">
              <w:rPr>
                <w:rFonts w:ascii="Times" w:hAnsi="Times" w:cs="Times New Roman"/>
                <w:color w:val="000000"/>
                <w:sz w:val="22"/>
                <w:szCs w:val="22"/>
              </w:rPr>
              <w:t>May</w:t>
            </w:r>
            <w:r w:rsidRPr="009E576F">
              <w:rPr>
                <w:rFonts w:ascii="Times" w:hAnsi="Times" w:cs="Times New Roman"/>
                <w:color w:val="000000"/>
                <w:sz w:val="22"/>
                <w:szCs w:val="22"/>
              </w:rPr>
              <w:t xml:space="preserve"> 1 2019)</w:t>
            </w:r>
          </w:p>
          <w:p w14:paraId="0CD9F01B" w14:textId="302CB1AA" w:rsidR="00884D2F" w:rsidRPr="009E576F" w:rsidRDefault="00884D2F" w:rsidP="009E576F">
            <w:pPr>
              <w:ind w:left="-140"/>
              <w:jc w:val="center"/>
              <w:rPr>
                <w:rFonts w:ascii="Times" w:hAnsi="Times" w:cs="Times New Roman"/>
                <w:sz w:val="22"/>
                <w:szCs w:val="22"/>
              </w:rPr>
            </w:pPr>
            <w:r>
              <w:rPr>
                <w:rFonts w:ascii="Times" w:hAnsi="Times" w:cs="Times New Roman"/>
                <w:color w:val="000000"/>
                <w:sz w:val="22"/>
                <w:szCs w:val="22"/>
              </w:rPr>
              <w:t>Date extended through end of November 2019 for data collection</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CE279" w14:textId="3D80CAC2"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Yes, ongoing</w:t>
            </w:r>
            <w:r w:rsidR="003830DD">
              <w:rPr>
                <w:rFonts w:ascii="Times" w:hAnsi="Times" w:cs="Times New Roman"/>
                <w:color w:val="000000"/>
                <w:sz w:val="22"/>
                <w:szCs w:val="22"/>
              </w:rPr>
              <w:t xml:space="preserve"> as part of sustained service</w:t>
            </w:r>
          </w:p>
        </w:tc>
      </w:tr>
      <w:tr w:rsidR="009E576F" w:rsidRPr="009E576F" w14:paraId="497B3A5E" w14:textId="77777777" w:rsidTr="009825AB">
        <w:trPr>
          <w:trHeight w:val="681"/>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396E3"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Follow-up vaccinations administered (ongoing)</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05D82" w14:textId="3F5A1A53"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 xml:space="preserve">6 weeks-11 months (Nov 12 2018- </w:t>
            </w:r>
            <w:r w:rsidR="00884D2F">
              <w:rPr>
                <w:rFonts w:ascii="Times" w:hAnsi="Times" w:cs="Times New Roman"/>
                <w:color w:val="000000"/>
                <w:sz w:val="22"/>
                <w:szCs w:val="22"/>
              </w:rPr>
              <w:t>Dec</w:t>
            </w:r>
            <w:r w:rsidRPr="009E576F">
              <w:rPr>
                <w:rFonts w:ascii="Times" w:hAnsi="Times" w:cs="Times New Roman"/>
                <w:color w:val="000000"/>
                <w:sz w:val="22"/>
                <w:szCs w:val="22"/>
              </w:rPr>
              <w:t xml:space="preserve"> 1 2019)</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FEBF1" w14:textId="56557073"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 xml:space="preserve">Yes, </w:t>
            </w:r>
            <w:r w:rsidR="003830DD">
              <w:rPr>
                <w:rFonts w:ascii="Times" w:hAnsi="Times" w:cs="Times New Roman"/>
                <w:color w:val="000000"/>
                <w:sz w:val="22"/>
                <w:szCs w:val="22"/>
              </w:rPr>
              <w:t>o</w:t>
            </w:r>
            <w:r w:rsidRPr="009E576F">
              <w:rPr>
                <w:rFonts w:ascii="Times" w:hAnsi="Times" w:cs="Times New Roman"/>
                <w:color w:val="000000"/>
                <w:sz w:val="22"/>
                <w:szCs w:val="22"/>
              </w:rPr>
              <w:t>ngoing</w:t>
            </w:r>
            <w:r w:rsidR="003830DD">
              <w:rPr>
                <w:rFonts w:ascii="Times" w:hAnsi="Times" w:cs="Times New Roman"/>
                <w:color w:val="000000"/>
                <w:sz w:val="22"/>
                <w:szCs w:val="22"/>
              </w:rPr>
              <w:t xml:space="preserve"> as part of sustained service</w:t>
            </w:r>
          </w:p>
        </w:tc>
      </w:tr>
      <w:tr w:rsidR="009E576F" w:rsidRPr="009E576F" w14:paraId="1275A546" w14:textId="77777777" w:rsidTr="009825AB">
        <w:trPr>
          <w:trHeight w:val="118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B07DF"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Confirmation of vaccination documentation in clinic EHR (ongoing)</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9AA4F"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8 weeks-11 months (October 22 2018-</w:t>
            </w:r>
          </w:p>
          <w:p w14:paraId="503790A9"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Oct 1 2019</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575D0" w14:textId="1156EB33" w:rsidR="00884D2F" w:rsidRPr="00884D2F" w:rsidRDefault="003830DD" w:rsidP="00884D2F">
            <w:pPr>
              <w:ind w:left="-140"/>
              <w:jc w:val="center"/>
              <w:rPr>
                <w:rFonts w:ascii="Times" w:hAnsi="Times" w:cs="Times New Roman"/>
                <w:color w:val="000000"/>
                <w:sz w:val="22"/>
                <w:szCs w:val="22"/>
              </w:rPr>
            </w:pPr>
            <w:r>
              <w:rPr>
                <w:rFonts w:ascii="Times" w:hAnsi="Times" w:cs="Times New Roman"/>
                <w:color w:val="000000"/>
                <w:sz w:val="22"/>
                <w:szCs w:val="22"/>
              </w:rPr>
              <w:t>Yes, ongoing as part of sustained service</w:t>
            </w:r>
          </w:p>
        </w:tc>
      </w:tr>
      <w:tr w:rsidR="009E576F" w:rsidRPr="009E576F" w14:paraId="51E16604" w14:textId="77777777" w:rsidTr="009825AB">
        <w:trPr>
          <w:trHeight w:val="906"/>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239E2"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Data assessment (vaccination rate, follow-up rate, tabulation of reasons for patient refusal)</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36991"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8 months-11 months (July 1 2019- Oct 1 2019)</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5D10A" w14:textId="3E636E7C" w:rsidR="009E576F" w:rsidRPr="009E576F" w:rsidRDefault="003830DD" w:rsidP="009E576F">
            <w:pPr>
              <w:ind w:left="-140"/>
              <w:jc w:val="center"/>
              <w:rPr>
                <w:rFonts w:ascii="Times" w:hAnsi="Times" w:cs="Times New Roman"/>
                <w:sz w:val="22"/>
                <w:szCs w:val="22"/>
              </w:rPr>
            </w:pPr>
            <w:r>
              <w:rPr>
                <w:rFonts w:ascii="Times" w:hAnsi="Times" w:cs="Times New Roman"/>
                <w:sz w:val="22"/>
                <w:szCs w:val="22"/>
              </w:rPr>
              <w:t>Complete for study period. Will be maintained quarterly as part of sustained service.</w:t>
            </w:r>
          </w:p>
        </w:tc>
      </w:tr>
      <w:tr w:rsidR="009E576F" w:rsidRPr="009E576F" w14:paraId="66BBB4D4" w14:textId="77777777" w:rsidTr="009825AB">
        <w:trPr>
          <w:trHeight w:val="933"/>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38B2F" w14:textId="77777777"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Finalization of manuscript/submission of abstracts</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F5AD9" w14:textId="52B6225B" w:rsidR="009E576F" w:rsidRPr="009E576F" w:rsidRDefault="001D2846" w:rsidP="001D2846">
            <w:pPr>
              <w:rPr>
                <w:rFonts w:ascii="Times" w:hAnsi="Times" w:cs="Times New Roman"/>
                <w:sz w:val="22"/>
                <w:szCs w:val="22"/>
              </w:rPr>
            </w:pPr>
            <w:r>
              <w:rPr>
                <w:rFonts w:ascii="Times" w:hAnsi="Times" w:cs="Times New Roman"/>
                <w:color w:val="000000"/>
                <w:sz w:val="22"/>
                <w:szCs w:val="22"/>
              </w:rPr>
              <w:t xml:space="preserve">11 </w:t>
            </w:r>
            <w:r w:rsidR="009E576F" w:rsidRPr="009E576F">
              <w:rPr>
                <w:rFonts w:ascii="Times" w:hAnsi="Times" w:cs="Times New Roman"/>
                <w:color w:val="000000"/>
                <w:sz w:val="22"/>
                <w:szCs w:val="22"/>
              </w:rPr>
              <w:t>months-13 months (Oct 1 2019-Nov 29 2019)</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D0955" w14:textId="5FBF8F62" w:rsidR="009E576F" w:rsidRPr="009E576F" w:rsidRDefault="009E576F" w:rsidP="009E576F">
            <w:pPr>
              <w:ind w:left="-140"/>
              <w:jc w:val="center"/>
              <w:rPr>
                <w:rFonts w:ascii="Times" w:hAnsi="Times" w:cs="Times New Roman"/>
                <w:sz w:val="22"/>
                <w:szCs w:val="22"/>
              </w:rPr>
            </w:pPr>
            <w:r w:rsidRPr="009E576F">
              <w:rPr>
                <w:rFonts w:ascii="Times" w:hAnsi="Times" w:cs="Times New Roman"/>
                <w:color w:val="000000"/>
                <w:sz w:val="22"/>
                <w:szCs w:val="22"/>
              </w:rPr>
              <w:t>Manuscript started</w:t>
            </w:r>
            <w:r w:rsidR="003830DD">
              <w:rPr>
                <w:rFonts w:ascii="Times" w:hAnsi="Times" w:cs="Times New Roman"/>
                <w:color w:val="000000"/>
                <w:sz w:val="22"/>
                <w:szCs w:val="22"/>
              </w:rPr>
              <w:t xml:space="preserve">; </w:t>
            </w:r>
            <w:r w:rsidR="00884D2F">
              <w:rPr>
                <w:rFonts w:ascii="Times" w:hAnsi="Times" w:cs="Times New Roman"/>
                <w:color w:val="000000"/>
                <w:sz w:val="22"/>
                <w:szCs w:val="22"/>
              </w:rPr>
              <w:t xml:space="preserve">plan to deliver </w:t>
            </w:r>
            <w:r w:rsidR="003830DD">
              <w:rPr>
                <w:rFonts w:ascii="Times" w:hAnsi="Times" w:cs="Times New Roman"/>
                <w:color w:val="000000"/>
                <w:sz w:val="22"/>
                <w:szCs w:val="22"/>
              </w:rPr>
              <w:t xml:space="preserve">data </w:t>
            </w:r>
            <w:r w:rsidR="00884D2F">
              <w:rPr>
                <w:rFonts w:ascii="Times" w:hAnsi="Times" w:cs="Times New Roman"/>
                <w:color w:val="000000"/>
                <w:sz w:val="22"/>
                <w:szCs w:val="22"/>
              </w:rPr>
              <w:t>query in Jan 2020 (after this study period)</w:t>
            </w:r>
          </w:p>
        </w:tc>
      </w:tr>
    </w:tbl>
    <w:p w14:paraId="4A1516A3" w14:textId="0A607CA0" w:rsidR="00A31458" w:rsidRDefault="00A31458">
      <w:pPr>
        <w:rPr>
          <w:rFonts w:ascii="Times" w:hAnsi="Times"/>
          <w:sz w:val="22"/>
          <w:szCs w:val="22"/>
        </w:rPr>
      </w:pPr>
    </w:p>
    <w:p w14:paraId="3299B6C1" w14:textId="4E04DF88" w:rsidR="00884D2F" w:rsidRDefault="00884D2F">
      <w:pPr>
        <w:rPr>
          <w:rFonts w:ascii="Times" w:hAnsi="Times"/>
          <w:sz w:val="22"/>
          <w:szCs w:val="22"/>
        </w:rPr>
      </w:pPr>
    </w:p>
    <w:p w14:paraId="2E1C8226" w14:textId="7353C938" w:rsidR="00884D2F" w:rsidRPr="009E576F" w:rsidRDefault="00884D2F">
      <w:pPr>
        <w:rPr>
          <w:rFonts w:ascii="Times" w:hAnsi="Times"/>
          <w:sz w:val="22"/>
          <w:szCs w:val="22"/>
        </w:rPr>
      </w:pPr>
    </w:p>
    <w:sectPr w:rsidR="00884D2F" w:rsidRPr="009E576F" w:rsidSect="009825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B4CAC"/>
    <w:multiLevelType w:val="multilevel"/>
    <w:tmpl w:val="4BFED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6F"/>
    <w:rsid w:val="001D2846"/>
    <w:rsid w:val="002C7B4F"/>
    <w:rsid w:val="003830DD"/>
    <w:rsid w:val="004E7DC4"/>
    <w:rsid w:val="006366B5"/>
    <w:rsid w:val="007218F2"/>
    <w:rsid w:val="00884D2F"/>
    <w:rsid w:val="009825AB"/>
    <w:rsid w:val="009E576F"/>
    <w:rsid w:val="00A3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1ACF6"/>
  <w14:defaultImageDpi w14:val="300"/>
  <w15:docId w15:val="{9440BA6F-4FC6-4142-AD5F-7B15802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76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D2846"/>
    <w:rPr>
      <w:sz w:val="16"/>
      <w:szCs w:val="16"/>
    </w:rPr>
  </w:style>
  <w:style w:type="paragraph" w:styleId="CommentText">
    <w:name w:val="annotation text"/>
    <w:basedOn w:val="Normal"/>
    <w:link w:val="CommentTextChar"/>
    <w:uiPriority w:val="99"/>
    <w:semiHidden/>
    <w:unhideWhenUsed/>
    <w:rsid w:val="001D2846"/>
    <w:rPr>
      <w:sz w:val="20"/>
      <w:szCs w:val="20"/>
    </w:rPr>
  </w:style>
  <w:style w:type="character" w:customStyle="1" w:styleId="CommentTextChar">
    <w:name w:val="Comment Text Char"/>
    <w:basedOn w:val="DefaultParagraphFont"/>
    <w:link w:val="CommentText"/>
    <w:uiPriority w:val="99"/>
    <w:semiHidden/>
    <w:rsid w:val="001D2846"/>
    <w:rPr>
      <w:sz w:val="20"/>
      <w:szCs w:val="20"/>
    </w:rPr>
  </w:style>
  <w:style w:type="paragraph" w:styleId="CommentSubject">
    <w:name w:val="annotation subject"/>
    <w:basedOn w:val="CommentText"/>
    <w:next w:val="CommentText"/>
    <w:link w:val="CommentSubjectChar"/>
    <w:uiPriority w:val="99"/>
    <w:semiHidden/>
    <w:unhideWhenUsed/>
    <w:rsid w:val="001D2846"/>
    <w:rPr>
      <w:b/>
      <w:bCs/>
    </w:rPr>
  </w:style>
  <w:style w:type="character" w:customStyle="1" w:styleId="CommentSubjectChar">
    <w:name w:val="Comment Subject Char"/>
    <w:basedOn w:val="CommentTextChar"/>
    <w:link w:val="CommentSubject"/>
    <w:uiPriority w:val="99"/>
    <w:semiHidden/>
    <w:rsid w:val="001D2846"/>
    <w:rPr>
      <w:b/>
      <w:bCs/>
      <w:sz w:val="20"/>
      <w:szCs w:val="20"/>
    </w:rPr>
  </w:style>
  <w:style w:type="paragraph" w:styleId="BalloonText">
    <w:name w:val="Balloon Text"/>
    <w:basedOn w:val="Normal"/>
    <w:link w:val="BalloonTextChar"/>
    <w:uiPriority w:val="99"/>
    <w:semiHidden/>
    <w:unhideWhenUsed/>
    <w:rsid w:val="001D28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8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0134">
      <w:bodyDiv w:val="1"/>
      <w:marLeft w:val="0"/>
      <w:marRight w:val="0"/>
      <w:marTop w:val="0"/>
      <w:marBottom w:val="0"/>
      <w:divBdr>
        <w:top w:val="none" w:sz="0" w:space="0" w:color="auto"/>
        <w:left w:val="none" w:sz="0" w:space="0" w:color="auto"/>
        <w:bottom w:val="none" w:sz="0" w:space="0" w:color="auto"/>
        <w:right w:val="none" w:sz="0" w:space="0" w:color="auto"/>
      </w:divBdr>
    </w:div>
    <w:div w:id="995262035">
      <w:bodyDiv w:val="1"/>
      <w:marLeft w:val="0"/>
      <w:marRight w:val="0"/>
      <w:marTop w:val="0"/>
      <w:marBottom w:val="0"/>
      <w:divBdr>
        <w:top w:val="none" w:sz="0" w:space="0" w:color="auto"/>
        <w:left w:val="none" w:sz="0" w:space="0" w:color="auto"/>
        <w:bottom w:val="none" w:sz="0" w:space="0" w:color="auto"/>
        <w:right w:val="none" w:sz="0" w:space="0" w:color="auto"/>
      </w:divBdr>
      <w:divsChild>
        <w:div w:id="1306394799">
          <w:marLeft w:val="0"/>
          <w:marRight w:val="0"/>
          <w:marTop w:val="0"/>
          <w:marBottom w:val="0"/>
          <w:divBdr>
            <w:top w:val="none" w:sz="0" w:space="0" w:color="auto"/>
            <w:left w:val="none" w:sz="0" w:space="0" w:color="auto"/>
            <w:bottom w:val="none" w:sz="0" w:space="0" w:color="auto"/>
            <w:right w:val="none" w:sz="0" w:space="0" w:color="auto"/>
          </w:divBdr>
        </w:div>
        <w:div w:id="1024402803">
          <w:marLeft w:val="0"/>
          <w:marRight w:val="0"/>
          <w:marTop w:val="0"/>
          <w:marBottom w:val="0"/>
          <w:divBdr>
            <w:top w:val="none" w:sz="0" w:space="0" w:color="auto"/>
            <w:left w:val="none" w:sz="0" w:space="0" w:color="auto"/>
            <w:bottom w:val="none" w:sz="0" w:space="0" w:color="auto"/>
            <w:right w:val="none" w:sz="0" w:space="0" w:color="auto"/>
          </w:divBdr>
        </w:div>
        <w:div w:id="1295255259">
          <w:marLeft w:val="0"/>
          <w:marRight w:val="0"/>
          <w:marTop w:val="0"/>
          <w:marBottom w:val="0"/>
          <w:divBdr>
            <w:top w:val="none" w:sz="0" w:space="0" w:color="auto"/>
            <w:left w:val="none" w:sz="0" w:space="0" w:color="auto"/>
            <w:bottom w:val="none" w:sz="0" w:space="0" w:color="auto"/>
            <w:right w:val="none" w:sz="0" w:space="0" w:color="auto"/>
          </w:divBdr>
        </w:div>
        <w:div w:id="187450308">
          <w:marLeft w:val="0"/>
          <w:marRight w:val="0"/>
          <w:marTop w:val="0"/>
          <w:marBottom w:val="0"/>
          <w:divBdr>
            <w:top w:val="none" w:sz="0" w:space="0" w:color="auto"/>
            <w:left w:val="none" w:sz="0" w:space="0" w:color="auto"/>
            <w:bottom w:val="none" w:sz="0" w:space="0" w:color="auto"/>
            <w:right w:val="none" w:sz="0" w:space="0" w:color="auto"/>
          </w:divBdr>
        </w:div>
        <w:div w:id="1651867047">
          <w:marLeft w:val="0"/>
          <w:marRight w:val="0"/>
          <w:marTop w:val="0"/>
          <w:marBottom w:val="0"/>
          <w:divBdr>
            <w:top w:val="none" w:sz="0" w:space="0" w:color="auto"/>
            <w:left w:val="none" w:sz="0" w:space="0" w:color="auto"/>
            <w:bottom w:val="none" w:sz="0" w:space="0" w:color="auto"/>
            <w:right w:val="none" w:sz="0" w:space="0" w:color="auto"/>
          </w:divBdr>
        </w:div>
        <w:div w:id="627510265">
          <w:marLeft w:val="0"/>
          <w:marRight w:val="0"/>
          <w:marTop w:val="0"/>
          <w:marBottom w:val="0"/>
          <w:divBdr>
            <w:top w:val="none" w:sz="0" w:space="0" w:color="auto"/>
            <w:left w:val="none" w:sz="0" w:space="0" w:color="auto"/>
            <w:bottom w:val="none" w:sz="0" w:space="0" w:color="auto"/>
            <w:right w:val="none" w:sz="0" w:space="0" w:color="auto"/>
          </w:divBdr>
        </w:div>
        <w:div w:id="1527256496">
          <w:marLeft w:val="0"/>
          <w:marRight w:val="0"/>
          <w:marTop w:val="0"/>
          <w:marBottom w:val="0"/>
          <w:divBdr>
            <w:top w:val="none" w:sz="0" w:space="0" w:color="auto"/>
            <w:left w:val="none" w:sz="0" w:space="0" w:color="auto"/>
            <w:bottom w:val="none" w:sz="0" w:space="0" w:color="auto"/>
            <w:right w:val="none" w:sz="0" w:space="0" w:color="auto"/>
          </w:divBdr>
        </w:div>
        <w:div w:id="198594714">
          <w:marLeft w:val="0"/>
          <w:marRight w:val="0"/>
          <w:marTop w:val="0"/>
          <w:marBottom w:val="0"/>
          <w:divBdr>
            <w:top w:val="none" w:sz="0" w:space="0" w:color="auto"/>
            <w:left w:val="none" w:sz="0" w:space="0" w:color="auto"/>
            <w:bottom w:val="none" w:sz="0" w:space="0" w:color="auto"/>
            <w:right w:val="none" w:sz="0" w:space="0" w:color="auto"/>
          </w:divBdr>
        </w:div>
        <w:div w:id="942612307">
          <w:marLeft w:val="0"/>
          <w:marRight w:val="0"/>
          <w:marTop w:val="0"/>
          <w:marBottom w:val="0"/>
          <w:divBdr>
            <w:top w:val="none" w:sz="0" w:space="0" w:color="auto"/>
            <w:left w:val="none" w:sz="0" w:space="0" w:color="auto"/>
            <w:bottom w:val="none" w:sz="0" w:space="0" w:color="auto"/>
            <w:right w:val="none" w:sz="0" w:space="0" w:color="auto"/>
          </w:divBdr>
        </w:div>
        <w:div w:id="1234780384">
          <w:marLeft w:val="0"/>
          <w:marRight w:val="0"/>
          <w:marTop w:val="0"/>
          <w:marBottom w:val="0"/>
          <w:divBdr>
            <w:top w:val="none" w:sz="0" w:space="0" w:color="auto"/>
            <w:left w:val="none" w:sz="0" w:space="0" w:color="auto"/>
            <w:bottom w:val="none" w:sz="0" w:space="0" w:color="auto"/>
            <w:right w:val="none" w:sz="0" w:space="0" w:color="auto"/>
          </w:divBdr>
        </w:div>
        <w:div w:id="1581522333">
          <w:marLeft w:val="0"/>
          <w:marRight w:val="0"/>
          <w:marTop w:val="0"/>
          <w:marBottom w:val="0"/>
          <w:divBdr>
            <w:top w:val="none" w:sz="0" w:space="0" w:color="auto"/>
            <w:left w:val="none" w:sz="0" w:space="0" w:color="auto"/>
            <w:bottom w:val="none" w:sz="0" w:space="0" w:color="auto"/>
            <w:right w:val="none" w:sz="0" w:space="0" w:color="auto"/>
          </w:divBdr>
        </w:div>
        <w:div w:id="399593916">
          <w:marLeft w:val="0"/>
          <w:marRight w:val="0"/>
          <w:marTop w:val="0"/>
          <w:marBottom w:val="0"/>
          <w:divBdr>
            <w:top w:val="none" w:sz="0" w:space="0" w:color="auto"/>
            <w:left w:val="none" w:sz="0" w:space="0" w:color="auto"/>
            <w:bottom w:val="none" w:sz="0" w:space="0" w:color="auto"/>
            <w:right w:val="none" w:sz="0" w:space="0" w:color="auto"/>
          </w:divBdr>
        </w:div>
        <w:div w:id="1125125663">
          <w:marLeft w:val="0"/>
          <w:marRight w:val="0"/>
          <w:marTop w:val="0"/>
          <w:marBottom w:val="0"/>
          <w:divBdr>
            <w:top w:val="none" w:sz="0" w:space="0" w:color="auto"/>
            <w:left w:val="none" w:sz="0" w:space="0" w:color="auto"/>
            <w:bottom w:val="none" w:sz="0" w:space="0" w:color="auto"/>
            <w:right w:val="none" w:sz="0" w:space="0" w:color="auto"/>
          </w:divBdr>
        </w:div>
        <w:div w:id="1430275721">
          <w:marLeft w:val="0"/>
          <w:marRight w:val="0"/>
          <w:marTop w:val="0"/>
          <w:marBottom w:val="0"/>
          <w:divBdr>
            <w:top w:val="none" w:sz="0" w:space="0" w:color="auto"/>
            <w:left w:val="none" w:sz="0" w:space="0" w:color="auto"/>
            <w:bottom w:val="none" w:sz="0" w:space="0" w:color="auto"/>
            <w:right w:val="none" w:sz="0" w:space="0" w:color="auto"/>
          </w:divBdr>
        </w:div>
        <w:div w:id="380982119">
          <w:marLeft w:val="0"/>
          <w:marRight w:val="0"/>
          <w:marTop w:val="0"/>
          <w:marBottom w:val="0"/>
          <w:divBdr>
            <w:top w:val="none" w:sz="0" w:space="0" w:color="auto"/>
            <w:left w:val="none" w:sz="0" w:space="0" w:color="auto"/>
            <w:bottom w:val="none" w:sz="0" w:space="0" w:color="auto"/>
            <w:right w:val="none" w:sz="0" w:space="0" w:color="auto"/>
          </w:divBdr>
        </w:div>
        <w:div w:id="1129974721">
          <w:marLeft w:val="0"/>
          <w:marRight w:val="0"/>
          <w:marTop w:val="0"/>
          <w:marBottom w:val="0"/>
          <w:divBdr>
            <w:top w:val="none" w:sz="0" w:space="0" w:color="auto"/>
            <w:left w:val="none" w:sz="0" w:space="0" w:color="auto"/>
            <w:bottom w:val="none" w:sz="0" w:space="0" w:color="auto"/>
            <w:right w:val="none" w:sz="0" w:space="0" w:color="auto"/>
          </w:divBdr>
        </w:div>
        <w:div w:id="1978141349">
          <w:marLeft w:val="0"/>
          <w:marRight w:val="0"/>
          <w:marTop w:val="0"/>
          <w:marBottom w:val="0"/>
          <w:divBdr>
            <w:top w:val="none" w:sz="0" w:space="0" w:color="auto"/>
            <w:left w:val="none" w:sz="0" w:space="0" w:color="auto"/>
            <w:bottom w:val="none" w:sz="0" w:space="0" w:color="auto"/>
            <w:right w:val="none" w:sz="0" w:space="0" w:color="auto"/>
          </w:divBdr>
        </w:div>
        <w:div w:id="1949120324">
          <w:marLeft w:val="0"/>
          <w:marRight w:val="0"/>
          <w:marTop w:val="0"/>
          <w:marBottom w:val="0"/>
          <w:divBdr>
            <w:top w:val="none" w:sz="0" w:space="0" w:color="auto"/>
            <w:left w:val="none" w:sz="0" w:space="0" w:color="auto"/>
            <w:bottom w:val="none" w:sz="0" w:space="0" w:color="auto"/>
            <w:right w:val="none" w:sz="0" w:space="0" w:color="auto"/>
          </w:divBdr>
        </w:div>
      </w:divsChild>
    </w:div>
    <w:div w:id="1493638674">
      <w:bodyDiv w:val="1"/>
      <w:marLeft w:val="0"/>
      <w:marRight w:val="0"/>
      <w:marTop w:val="0"/>
      <w:marBottom w:val="0"/>
      <w:divBdr>
        <w:top w:val="none" w:sz="0" w:space="0" w:color="auto"/>
        <w:left w:val="none" w:sz="0" w:space="0" w:color="auto"/>
        <w:bottom w:val="none" w:sz="0" w:space="0" w:color="auto"/>
        <w:right w:val="none" w:sz="0" w:space="0" w:color="auto"/>
      </w:divBdr>
    </w:div>
    <w:div w:id="1744716186">
      <w:bodyDiv w:val="1"/>
      <w:marLeft w:val="0"/>
      <w:marRight w:val="0"/>
      <w:marTop w:val="0"/>
      <w:marBottom w:val="0"/>
      <w:divBdr>
        <w:top w:val="none" w:sz="0" w:space="0" w:color="auto"/>
        <w:left w:val="none" w:sz="0" w:space="0" w:color="auto"/>
        <w:bottom w:val="none" w:sz="0" w:space="0" w:color="auto"/>
        <w:right w:val="none" w:sz="0" w:space="0" w:color="auto"/>
      </w:divBdr>
      <w:divsChild>
        <w:div w:id="185537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Arizona College of Pharmacy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O'Connor</dc:creator>
  <cp:keywords/>
  <dc:description/>
  <cp:lastModifiedBy>Freiter, Meg</cp:lastModifiedBy>
  <cp:revision>2</cp:revision>
  <dcterms:created xsi:type="dcterms:W3CDTF">2019-12-17T15:23:00Z</dcterms:created>
  <dcterms:modified xsi:type="dcterms:W3CDTF">2019-12-17T15:23:00Z</dcterms:modified>
</cp:coreProperties>
</file>